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spacing w:before="0" w:after="0"/>
        <w:ind w:firstLine="56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Дело №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551</w:t>
      </w:r>
      <w:r>
        <w:rPr>
          <w:rFonts w:ascii="Times New Roman" w:eastAsia="Times New Roman" w:hAnsi="Times New Roman" w:cs="Times New Roman"/>
          <w:sz w:val="20"/>
          <w:szCs w:val="20"/>
        </w:rPr>
        <w:t>-2610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29 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адресу: ХМАО - Югра, г. Сург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нарушении, предусмотренном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находяще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 по 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дресу: ХМАО-Югра, </w:t>
      </w:r>
      <w:r>
        <w:rPr>
          <w:rStyle w:val="cat-UserDefinedgrp-47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widowControl w:val="0"/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10.02.2026 года в </w:t>
      </w:r>
      <w:r>
        <w:rPr>
          <w:rStyle w:val="cat-Timegrp-41rplc-10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юридическое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городская </w:t>
      </w:r>
      <w:r>
        <w:rPr>
          <w:rStyle w:val="cat-OrganizationNamegrp-35rplc-1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выполнило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предупреждение 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нарушении законодательства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02.12.2025 года</w:t>
      </w:r>
      <w:r>
        <w:rPr>
          <w:rFonts w:ascii="Times New Roman" w:eastAsia="Times New Roman" w:hAnsi="Times New Roman" w:cs="Times New Roman"/>
          <w:sz w:val="27"/>
          <w:szCs w:val="27"/>
        </w:rPr>
        <w:t>, вынесенное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Управлением Министерства юстиции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по ХМАО-Югре в рамках плановой документарной проверки</w:t>
      </w:r>
      <w:r>
        <w:rPr>
          <w:rFonts w:ascii="Times New Roman" w:eastAsia="Times New Roman" w:hAnsi="Times New Roman" w:cs="Times New Roman"/>
          <w:sz w:val="27"/>
          <w:szCs w:val="27"/>
        </w:rPr>
        <w:t>, проведенной на основании распоряжения от 25.09</w:t>
      </w:r>
      <w:r>
        <w:rPr>
          <w:rFonts w:ascii="Times New Roman" w:eastAsia="Times New Roman" w:hAnsi="Times New Roman" w:cs="Times New Roman"/>
          <w:sz w:val="27"/>
          <w:szCs w:val="27"/>
        </w:rPr>
        <w:t>.2025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 № 871-р,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чем совершило административное правонарушение, предусмотренное ч. 1 ст. 19.5 КоАП РФ.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Лунева В.В.,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извещенная о времени и месте рассмотрения дела надлежащим образом (п. 6 постановления Пленума ВС РФ от 24.03.2005 г. № 5), в судебное заседание не явилась, ходатайств об отложении рассмотрения дела не заявляла. </w:t>
      </w:r>
      <w:r>
        <w:rPr>
          <w:rFonts w:ascii="Times New Roman" w:eastAsia="Times New Roman" w:hAnsi="Times New Roman" w:cs="Times New Roman"/>
          <w:sz w:val="27"/>
          <w:szCs w:val="27"/>
        </w:rPr>
        <w:t>Вследствие изложенного и на основании ч. 2 ст. 25.1 КоАП РФ суд считает возможным рассмотреть дело в отсутствие представителя юридического лица по имеющимся в деле доказательствам.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материалы дела, оценив представленные доказательства в их совокупности и системной взаимосвязи,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приходит к следующему.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19.5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КоАП РФ </w:t>
      </w:r>
      <w:r>
        <w:rPr>
          <w:rFonts w:ascii="Times New Roman" w:eastAsia="Times New Roman" w:hAnsi="Times New Roman" w:cs="Times New Roman"/>
          <w:sz w:val="27"/>
          <w:szCs w:val="27"/>
        </w:rPr>
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за исключением случаев,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39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2,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390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390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390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8 ст. 14.39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520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5201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52019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19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4520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21 ст. 14.51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</w:t>
      </w:r>
      <w:r>
        <w:rPr>
          <w:rFonts w:ascii="Times New Roman" w:eastAsia="Times New Roman" w:hAnsi="Times New Roman" w:cs="Times New Roman"/>
          <w:sz w:val="27"/>
          <w:szCs w:val="27"/>
        </w:rPr>
        <w:t>лечет наложение административного штрафа на юридических лиц от десяти тысяч до двадцати тысяч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Объективную сторону правонарушений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9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19.5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составляют действия (бездействие), выражающиеся в невыполнении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контроль. Под неисполнением в срок предписания понимается исполнение предписания частично в указанный этим предписанием срок или уклонение от его исполнения в целом.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материалов дела,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Распоряжения Управления Министерства юстиции Российской Федерации по Ханты-Мансийскому автономному округу - Югре от 25</w:t>
      </w:r>
      <w:r>
        <w:rPr>
          <w:rFonts w:ascii="Times New Roman" w:eastAsia="Times New Roman" w:hAnsi="Times New Roman" w:cs="Times New Roman"/>
          <w:sz w:val="27"/>
          <w:szCs w:val="27"/>
        </w:rPr>
        <w:t>.09.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года № 871-р «О проведении плановой документарной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проверки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2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период с 01.11.2025 года по 01.12.2025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проведена проверка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результатам проверки в деятельности организации Управлением выявлены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следующие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нарушения законодательства Российской Федерации: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нарушение ст. 14 Федерального закона от 19.05.1995 года № 82-ФЗ "Об общественных объединениях» в наименовании организации отсутствует указание на территориальную сферу деятельности общественного объединения;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нарушение п. 5 ст. Федерального закона от 26.12.2008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организацией не представлены документы к плановой документарной проверки. Согласно п. 4.1 ст. 32 Федерального закона от 12.01.1996 года № 7-ФЗ "О некоммерческих организациях" контроль за соблюдением некоммерческими организациями требований законодательства Российской Федерации и целей, предусмотренных их учредительными документами, осуществляется при проведении федерального государственного надзора за деятельностью некоммерческих организаций, за исключением бюджетных и казенных учреждений, и ведомственного контроля за деятельностью бюджетных и казенных учреждений. Федеральный государственный надзор за деятельностью некоммерческих организаций осуществляется уполномоченным органом согласно его компетенции в порядке, установленном Правительством Российской Федерации;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8 ч. 1 ст. 29 Федерального закона от 19.05.1995 года № 82-ФЗ "Об общественных объединениях»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6rplc-3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представлен отчет, предусмотренный п. 3 ст. 32 Федерального закона от 12.01.1996 года № 7-ФЗ "О некоммерческих организациях"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Управление Минюста России по ХМАО-Югре за 2022-2024 годы;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3.2 ст. 32 Федерального закона от 12.01.1996 года № 7-ФЗ "О некоммерческих организациях" организация не исполнила обязанность по размещению устава </w:t>
      </w:r>
      <w:r>
        <w:rPr>
          <w:rStyle w:val="cat-OrganizationNamegrp-37rplc-3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; в нарушение ч. 2 ст. 20 Федерального закона от 19.05.1995 года № 82-ФЗ "Об общественных объединениях» в уставе организации отсутствует описание используемой символики на оттиске печати; в нарушение п. 2 ст. 65.3 Гражданского кодекса Российской Федерации к исключительной компетенции высшего органа отнесены не все вопросы, предусмотренные данной нормой, в том числе вопросы, которые должны быть отнесены к вопросам исключительной компетенции высшего органа управления, отнесены к полномочию правления организации; в нарушение п. 1 ст. 123.7 Гражданского кодекса Российской Федерации к исключительной компетенции высшего органа общественной организации не отнесен вопрос о принятии решений о размере и порядке уплаты ее участниками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(членами) членских и иных имущественных взносов; в нарушение п. 2 ст. 123.7 Гражданского кодекса Российской Федерации в общественной организации не образован единоличный исполнительный орган (не предусмотрен уставом); в нарушение п. 4 ч. 1 ст. 20 Федерального закона от 19.05.1995 года № 82-ФЗ "Об общественных объединениях" в уставе организации отсутствует срок полномочий председателя правления; в нарушение п. 2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12.01.1996 года № 7-ФЗ "О некоммерческих организациях"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уставе организации отсутствуют виды приносящей доход деятельности, так как такая деятельность предусмотрена уставом организации.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обозначенном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предупреждении контролирующим органом указано на необходимость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организации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принять меры, направленные на устранение </w:t>
      </w:r>
      <w:r>
        <w:rPr>
          <w:rFonts w:ascii="Times New Roman" w:eastAsia="Times New Roman" w:hAnsi="Times New Roman" w:cs="Times New Roman"/>
          <w:sz w:val="27"/>
          <w:szCs w:val="27"/>
        </w:rPr>
        <w:t>приведенных в нем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нарушений,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представить </w:t>
      </w:r>
      <w:r>
        <w:rPr>
          <w:rFonts w:ascii="Times New Roman" w:eastAsia="Times New Roman" w:hAnsi="Times New Roman" w:cs="Times New Roman"/>
          <w:sz w:val="27"/>
          <w:szCs w:val="27"/>
        </w:rPr>
        <w:t>в Управление соответствующи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 до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09.02.2026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редупреждение Управления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Министерства юстиции Российской Федерации по </w:t>
      </w:r>
      <w:r>
        <w:rPr>
          <w:rFonts w:ascii="Times New Roman" w:eastAsia="Times New Roman" w:hAnsi="Times New Roman" w:cs="Times New Roman"/>
          <w:sz w:val="27"/>
          <w:szCs w:val="27"/>
        </w:rPr>
        <w:t>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Югре от 02.12.2025 года, направленное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4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05.12.2025 года заказным письмом с простым уведомлением, адресатом не получено и возвращено отправителю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09.01.2026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чем свидетельствует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</w:t>
      </w:r>
      <w:r>
        <w:rPr>
          <w:rFonts w:ascii="Times New Roman" w:eastAsia="Times New Roman" w:hAnsi="Times New Roman" w:cs="Times New Roman"/>
          <w:sz w:val="27"/>
          <w:szCs w:val="27"/>
        </w:rPr>
        <w:t>в дело копи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почтового конверта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(трек отслеживания № </w:t>
      </w:r>
      <w:r>
        <w:rPr>
          <w:rStyle w:val="cat-UserDefinedgrp-48rplc-4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164072/entry/54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3 ст. 54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ГК РФ юридическое лицо несет риск последствий неполучения юридически значимых сообщений (ст. 165.1),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Единого государственного реестра юридических лиц, местом нахождения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4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адрес - г. Сургут, ул. Геологическая, дом 18/1, кв. 31. Сведений об изменении этого адреса в материалах дела нет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неполучение некоммерческой организацией предупреждения, направленного в ее адрес заказной корреспонденцией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фактически свидетельствует об уклонении последней от получения почтовых уведомлений. Принимая во внимание, что предупреждение о нарушении законодательства Российской Федерации от 02.12.2025 года направлялось по юридическому адресу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4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заказным письмом, тем самым административным органом были приняты все необходимые меры для надлежащего информирования некоммерческой организации о нарушениях, выявленных в ее деятельности.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Соответственно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городская </w:t>
      </w:r>
      <w:r>
        <w:rPr>
          <w:rStyle w:val="cat-OrganizationNamegrp-35rplc-4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была надлежащим образом проинформирована о необходимости устранения нарушений законодательства Российской Федерации, а потому соответствующее предупреждение, направленное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Министерства юстиции Российской Федерации по Ханты-Мансийскому автономному округу – Югре по адресу, указанному в едином государственном реестре юридических лиц, считается полученным общественной организацией.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 наличия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уважительных причин неполучения предупреждения от 02.12.2025 года по объективным причинам материалы дела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содержат, 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представленные председателем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6rplc-5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Луневой В.В. копии документов о том, что в период с 23.01.2026 года по 30.01.2026 года включительно она находилась на лечении в ОКД «ЦД и ССХ» таковыми признаться не могут, поскольку данное обстоятельство не препятствовало получению ею почтового отправления, оправленного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Управлени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Министерства юстиции Российской Федерации по ХМАО – Югре 05.12.2025 года и находившегося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отделении почтовой связи </w:t>
      </w:r>
      <w:r>
        <w:rPr>
          <w:rStyle w:val="cat-OrganizationNamegrp-38rplc-5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 09.01.2026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(ШПИ </w:t>
      </w:r>
      <w:r>
        <w:rPr>
          <w:rStyle w:val="cat-UserDefinedgrp-48rplc-6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тоже время актом Управления Министерства юстиции Российской Федерации по ХМАО-Югре от 10.02.2026 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зафиксирован факт непредставления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6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– до 09.02.2026 года документов, подтверждающих устранение нарушений, что послужило основанием для составления 25.03.2026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ч. 1 ст. 19.5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6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обжаловано в вышестоящий орган или суд предупреждение от 02.12.2025 года, и оно было отменено в установленном действующим законодательством порядке, в материалах дела отсутствуют, и мировой судья таковыми не располагает, в связи с чем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законность предупреждения сомнений не вызывает.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Каких-либо объективных данных, свидетельствующих о невозможности исполнения </w:t>
      </w:r>
      <w:r>
        <w:rPr>
          <w:rFonts w:ascii="Times New Roman" w:eastAsia="Times New Roman" w:hAnsi="Times New Roman" w:cs="Times New Roman"/>
          <w:sz w:val="27"/>
          <w:szCs w:val="27"/>
        </w:rPr>
        <w:t>общественной организацией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 о нарушении законодательства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, в том числе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уведомлении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органа о невозможности выполнения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указанный в нем срок,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обращении с ходатайством о продлении срока исполнения требований,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содержащихся в </w:t>
      </w:r>
      <w:r>
        <w:rPr>
          <w:rFonts w:ascii="Times New Roman" w:eastAsia="Times New Roman" w:hAnsi="Times New Roman" w:cs="Times New Roman"/>
          <w:sz w:val="27"/>
          <w:szCs w:val="27"/>
        </w:rPr>
        <w:t>предупреждении</w:t>
      </w:r>
      <w:r>
        <w:rPr>
          <w:rFonts w:ascii="Times New Roman" w:eastAsia="Times New Roman" w:hAnsi="Times New Roman" w:cs="Times New Roman"/>
          <w:sz w:val="27"/>
          <w:szCs w:val="27"/>
        </w:rPr>
        <w:t>, в материалах дела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ина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6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следующими доказательствами: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07 об административном правонарушении от 25.03.2026 года; актом о выявлении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6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10.02.2026 года; копией Распоряжения Управления Министерства юстиции Российской Федерации по Ханты-Мансийскому автономному округу - Югре от 25.09.2025 года за № 871-р «О проведении плановой документарной проверки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7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предупреждения о нарушении законодательства Российской Федерации от 02.12.2025 года № 86/03-4622/25; копией почтового конверта заказного письма с простым уведомлением; копией уведомления о составлении протокола об административном правонарушении от 11.02.2026 года № 86/03-475/26; копией почтового конверта заказного письма с простым уведомлением; копией выписки из Единого государственного реестра юридических лиц; копией сопроводительного письма от 25.03.2026 года № 86/03-1089/26 о направлении копии протокола об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этой связи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</w:t>
      </w:r>
      <w:r>
        <w:rPr>
          <w:rStyle w:val="cat-OrganizationNamegrp-34rplc-7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подлежат квалификации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 1 ст. 19.5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как невыполнение в установленный срок законного предписания должностного лица, осуществляющего государственный надзор об устранении нарушений законодательства.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прекращения производства по делу,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как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освобождения от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том числе </w:t>
      </w:r>
      <w:r>
        <w:rPr>
          <w:rFonts w:ascii="Times New Roman" w:eastAsia="Times New Roman" w:hAnsi="Times New Roman" w:cs="Times New Roman"/>
          <w:sz w:val="27"/>
          <w:szCs w:val="27"/>
        </w:rPr>
        <w:t>по основанию, предусмотренному ст. 2.9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</w:t>
      </w:r>
      <w:r>
        <w:rPr>
          <w:rFonts w:ascii="Times New Roman" w:eastAsia="Times New Roman" w:hAnsi="Times New Roman" w:cs="Times New Roman"/>
          <w:sz w:val="27"/>
          <w:szCs w:val="27"/>
        </w:rPr>
        <w:t>в связи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отсутствием на счетах организации денежных средств,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имеется.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исключающи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производство по делу об административном правонарушении и возможность рассмотрения дела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отсутствуют</w:t>
      </w:r>
      <w:r>
        <w:rPr>
          <w:rFonts w:ascii="Times New Roman" w:eastAsia="Times New Roman" w:hAnsi="Times New Roman" w:cs="Times New Roman"/>
          <w:sz w:val="27"/>
          <w:szCs w:val="27"/>
        </w:rPr>
        <w:t>. Обстоятельств, смягчающих и отягчающих административную ответственность, не установлено.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9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 формальный и ответственность наступает независимо от наступивших последствий.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Таким образом,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читывая данные о юридическом лице, отсутствие смягчающих и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считает, что назначение наказания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минимальном, предусмотренном санкцией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соответствует характеру и степени общественной опасности совершенного правонарушения.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решении вопроса о замене наказания в виде штрафа на предупреждение в порядке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4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4.1.1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учитывает положения ч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 указанной статьи о том, что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предусмотренного, в том числе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19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19.5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Применение положений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410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4102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2.3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4.1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данном случае также невозможно с учетом санкции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ст. 19.5 КоАП РФ.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 ст. 29.9-29.11 КоАП РФ, мировой судья</w:t>
      </w:r>
    </w:p>
    <w:p>
      <w:pPr>
        <w:spacing w:before="0" w:after="0"/>
        <w:ind w:firstLine="68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680"/>
        <w:jc w:val="center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юридическо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городскую </w:t>
      </w:r>
      <w:r>
        <w:rPr>
          <w:rStyle w:val="cat-OrganizationNamegrp-39rplc-7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административное наказание в виде штрафа в размере </w:t>
      </w:r>
      <w:r>
        <w:rPr>
          <w:rStyle w:val="cat-Sumgrp-33rplc-80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 8 </w:t>
      </w:r>
      <w:r>
        <w:rPr>
          <w:rStyle w:val="cat-OrganizationNamegrp-40rplc-81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0412365400655005512619100.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рублей.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680"/>
        <w:jc w:val="both"/>
        <w:rPr>
          <w:sz w:val="27"/>
          <w:szCs w:val="27"/>
        </w:rPr>
      </w:pP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Е.П. Король 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68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sectPr>
      <w:foot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3708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34rplc-5">
    <w:name w:val="cat-OrganizationName grp-34 rplc-5"/>
    <w:basedOn w:val="DefaultParagraphFont"/>
  </w:style>
  <w:style w:type="character" w:customStyle="1" w:styleId="cat-UserDefinedgrp-47rplc-7">
    <w:name w:val="cat-UserDefined grp-47 rplc-7"/>
    <w:basedOn w:val="DefaultParagraphFont"/>
  </w:style>
  <w:style w:type="character" w:customStyle="1" w:styleId="cat-Timegrp-41rplc-10">
    <w:name w:val="cat-Time grp-41 rplc-10"/>
    <w:basedOn w:val="DefaultParagraphFont"/>
  </w:style>
  <w:style w:type="character" w:customStyle="1" w:styleId="cat-OrganizationNamegrp-35rplc-11">
    <w:name w:val="cat-OrganizationName grp-35 rplc-11"/>
    <w:basedOn w:val="DefaultParagraphFont"/>
  </w:style>
  <w:style w:type="character" w:customStyle="1" w:styleId="cat-OrganizationNamegrp-34rplc-14">
    <w:name w:val="cat-OrganizationName grp-34 rplc-14"/>
    <w:basedOn w:val="DefaultParagraphFont"/>
  </w:style>
  <w:style w:type="character" w:customStyle="1" w:styleId="cat-OrganizationNamegrp-34rplc-21">
    <w:name w:val="cat-OrganizationName grp-34 rplc-21"/>
    <w:basedOn w:val="DefaultParagraphFont"/>
  </w:style>
  <w:style w:type="character" w:customStyle="1" w:styleId="cat-OrganizationNamegrp-34rplc-24">
    <w:name w:val="cat-OrganizationName grp-34 rplc-24"/>
    <w:basedOn w:val="DefaultParagraphFont"/>
  </w:style>
  <w:style w:type="character" w:customStyle="1" w:styleId="cat-OrganizationNamegrp-36rplc-30">
    <w:name w:val="cat-OrganizationName grp-36 rplc-30"/>
    <w:basedOn w:val="DefaultParagraphFont"/>
  </w:style>
  <w:style w:type="character" w:customStyle="1" w:styleId="cat-OrganizationNamegrp-37rplc-34">
    <w:name w:val="cat-OrganizationName grp-37 rplc-34"/>
    <w:basedOn w:val="DefaultParagraphFont"/>
  </w:style>
  <w:style w:type="character" w:customStyle="1" w:styleId="cat-OrganizationNamegrp-34rplc-41">
    <w:name w:val="cat-OrganizationName grp-34 rplc-41"/>
    <w:basedOn w:val="DefaultParagraphFont"/>
  </w:style>
  <w:style w:type="character" w:customStyle="1" w:styleId="cat-UserDefinedgrp-48rplc-44">
    <w:name w:val="cat-UserDefined grp-48 rplc-44"/>
    <w:basedOn w:val="DefaultParagraphFont"/>
  </w:style>
  <w:style w:type="character" w:customStyle="1" w:styleId="cat-OrganizationNamegrp-34rplc-45">
    <w:name w:val="cat-OrganizationName grp-34 rplc-45"/>
    <w:basedOn w:val="DefaultParagraphFont"/>
  </w:style>
  <w:style w:type="character" w:customStyle="1" w:styleId="cat-OrganizationNamegrp-34rplc-48">
    <w:name w:val="cat-OrganizationName grp-34 rplc-48"/>
    <w:basedOn w:val="DefaultParagraphFont"/>
  </w:style>
  <w:style w:type="character" w:customStyle="1" w:styleId="cat-OrganizationNamegrp-35rplc-49">
    <w:name w:val="cat-OrganizationName grp-35 rplc-49"/>
    <w:basedOn w:val="DefaultParagraphFont"/>
  </w:style>
  <w:style w:type="character" w:customStyle="1" w:styleId="cat-OrganizationNamegrp-36rplc-52">
    <w:name w:val="cat-OrganizationName grp-36 rplc-52"/>
    <w:basedOn w:val="DefaultParagraphFont"/>
  </w:style>
  <w:style w:type="character" w:customStyle="1" w:styleId="cat-OrganizationNamegrp-38rplc-58">
    <w:name w:val="cat-OrganizationName grp-38 rplc-58"/>
    <w:basedOn w:val="DefaultParagraphFont"/>
  </w:style>
  <w:style w:type="character" w:customStyle="1" w:styleId="cat-UserDefinedgrp-48rplc-60">
    <w:name w:val="cat-UserDefined grp-48 rplc-60"/>
    <w:basedOn w:val="DefaultParagraphFont"/>
  </w:style>
  <w:style w:type="character" w:customStyle="1" w:styleId="cat-OrganizationNamegrp-34rplc-62">
    <w:name w:val="cat-OrganizationName grp-34 rplc-62"/>
    <w:basedOn w:val="DefaultParagraphFont"/>
  </w:style>
  <w:style w:type="character" w:customStyle="1" w:styleId="cat-OrganizationNamegrp-34rplc-65">
    <w:name w:val="cat-OrganizationName grp-34 rplc-65"/>
    <w:basedOn w:val="DefaultParagraphFont"/>
  </w:style>
  <w:style w:type="character" w:customStyle="1" w:styleId="cat-OrganizationNamegrp-34rplc-67">
    <w:name w:val="cat-OrganizationName grp-34 rplc-67"/>
    <w:basedOn w:val="DefaultParagraphFont"/>
  </w:style>
  <w:style w:type="character" w:customStyle="1" w:styleId="cat-OrganizationNamegrp-34rplc-69">
    <w:name w:val="cat-OrganizationName grp-34 rplc-69"/>
    <w:basedOn w:val="DefaultParagraphFont"/>
  </w:style>
  <w:style w:type="character" w:customStyle="1" w:styleId="cat-OrganizationNamegrp-34rplc-74">
    <w:name w:val="cat-OrganizationName grp-34 rplc-74"/>
    <w:basedOn w:val="DefaultParagraphFont"/>
  </w:style>
  <w:style w:type="character" w:customStyle="1" w:styleId="cat-OrganizationNamegrp-34rplc-78">
    <w:name w:val="cat-OrganizationName grp-34 rplc-78"/>
    <w:basedOn w:val="DefaultParagraphFont"/>
  </w:style>
  <w:style w:type="character" w:customStyle="1" w:styleId="cat-OrganizationNamegrp-39rplc-79">
    <w:name w:val="cat-OrganizationName grp-39 rplc-79"/>
    <w:basedOn w:val="DefaultParagraphFont"/>
  </w:style>
  <w:style w:type="character" w:customStyle="1" w:styleId="cat-Sumgrp-33rplc-80">
    <w:name w:val="cat-Sum grp-33 rplc-80"/>
    <w:basedOn w:val="DefaultParagraphFont"/>
  </w:style>
  <w:style w:type="character" w:customStyle="1" w:styleId="cat-OrganizationNamegrp-40rplc-81">
    <w:name w:val="cat-OrganizationName grp-40 rplc-8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4C16-594C-480B-85AA-CBDA16237D7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